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/>
        <w:drawing>
          <wp:inline distT="0" distB="0" distL="0" distR="0">
            <wp:extent cx="5750560" cy="723900"/>
            <wp:effectExtent l="0" t="0" r="0" b="0"/>
            <wp:docPr id="1" name="Obrázo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Správa o činnosti klubu anglického jazyka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540"/>
        <w:gridCol w:w="4521"/>
      </w:tblGrid>
      <w:tr>
        <w:trPr/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454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>
        <w:trPr/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ind w:left="454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>
        <w:trPr/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454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>
        <w:trPr/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454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>
        <w:trPr/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40" w:before="0" w:after="0"/>
              <w:ind w:left="454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>
        <w:trPr/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454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anglického jazyka</w:t>
            </w:r>
          </w:p>
        </w:tc>
      </w:tr>
      <w:tr>
        <w:trPr/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0" w:after="0"/>
              <w:ind w:left="454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 06. 2022- Pondelok párny týždeň</w:t>
            </w:r>
          </w:p>
        </w:tc>
      </w:tr>
      <w:tr>
        <w:trPr/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454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organizačná zložka  Obchodná akadémia, Jarmočná 132, Stará Ľubovňa</w:t>
            </w:r>
          </w:p>
        </w:tc>
      </w:tr>
      <w:tr>
        <w:trPr/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40" w:before="0" w:after="0"/>
              <w:ind w:left="454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</w:tr>
      <w:tr>
        <w:trPr/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454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lang w:val="sk-SK"/>
              </w:rPr>
            </w:pPr>
            <w:hyperlink r:id="rId3">
              <w:r>
                <w:rPr>
                  <w:rStyle w:val="Internetovodkaz"/>
                  <w:lang w:val="sk-SK"/>
                </w:rPr>
                <w:t>https://oasl.edupage.org/a/gramotnostou-k-trhu-prace</w:t>
              </w:r>
            </w:hyperlink>
          </w:p>
        </w:tc>
      </w:tr>
    </w:tbl>
    <w:p>
      <w:pPr>
        <w:pStyle w:val="Normal"/>
        <w:tabs>
          <w:tab w:val="clear" w:pos="708"/>
          <w:tab w:val="left" w:pos="1114" w:leader="none"/>
        </w:tabs>
        <w:spacing w:lineRule="auto" w:line="240" w:before="0" w:after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</w:r>
    </w:p>
    <w:tbl>
      <w:tblPr>
        <w:tblW w:w="90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71"/>
      </w:tblGrid>
      <w:tr>
        <w:trPr>
          <w:trHeight w:val="567" w:hRule="atLeast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>
            <w:pPr>
              <w:pStyle w:val="TableParagraph"/>
              <w:widowControl w:val="false"/>
              <w:jc w:val="both"/>
              <w:rPr>
                <w:lang w:val="sk-SK"/>
              </w:rPr>
            </w:pPr>
            <w:r>
              <w:rPr>
                <w:i/>
                <w:lang w:val="sk-SK"/>
              </w:rPr>
              <w:t>Stručná anotácia:</w:t>
            </w:r>
            <w:r>
              <w:rPr>
                <w:lang w:val="sk-SK"/>
              </w:rPr>
              <w:t xml:space="preserve"> Na tomto sedení sme sa </w:t>
            </w:r>
            <w:r>
              <w:rPr/>
              <w:t>zaoberali využívaním didaktických hier a aktivít na, ktorých cieľom je zatraktívniť hodiny anglického jazyka. Tieto activity a úlohy sú určené učiteľom cudzích jazykov stredných škôl. Ďalej opisujeme konkrétne hry a aktivity, ktorých hlavnou úlohou je rozvíjať komunikačné schopnosti, tvorivosť, kognitivizáciu, logiku a pamäť žiakov.</w:t>
            </w:r>
          </w:p>
          <w:p>
            <w:pPr>
              <w:pStyle w:val="TableParagraph"/>
              <w:widowControl w:val="false"/>
              <w:jc w:val="both"/>
              <w:rPr>
                <w:lang w:val="sk-SK"/>
              </w:rPr>
            </w:pPr>
            <w:r>
              <w:rPr>
                <w:lang w:val="sk-SK"/>
              </w:rPr>
            </w:r>
          </w:p>
          <w:p>
            <w:pPr>
              <w:pStyle w:val="TableParagraph"/>
              <w:widowControl w:val="false"/>
              <w:jc w:val="both"/>
              <w:rPr/>
            </w:pPr>
            <w:r>
              <w:rPr>
                <w:b/>
                <w:i/>
                <w:lang w:val="sk-SK"/>
              </w:rPr>
              <w:t>Kľúčové slová:</w:t>
            </w:r>
            <w:r>
              <w:rPr>
                <w:b/>
                <w:lang w:val="sk-SK"/>
              </w:rPr>
              <w:t xml:space="preserve">  </w:t>
            </w:r>
            <w:r>
              <w:rPr>
                <w:lang w:val="sk-SK"/>
              </w:rPr>
              <w:t>skupinové vyučovanie, práca vo dvojic</w:t>
            </w:r>
            <w:r>
              <w:rPr>
                <w:lang w:val="sk-SK"/>
              </w:rPr>
              <w:t>i</w:t>
            </w:r>
            <w:r>
              <w:rPr>
                <w:lang w:val="sk-SK"/>
              </w:rPr>
              <w:t>ach,</w:t>
            </w:r>
            <w:r>
              <w:rPr>
                <w:b/>
                <w:lang w:val="sk-SK"/>
              </w:rPr>
              <w:t xml:space="preserve"> </w:t>
            </w:r>
            <w:r>
              <w:rPr>
                <w:lang w:val="sk-SK"/>
              </w:rPr>
              <w:t>d</w:t>
            </w:r>
            <w:r>
              <w:rPr/>
              <w:t>idaktická hra, hranie rolí, forma práce</w:t>
            </w:r>
          </w:p>
          <w:p>
            <w:pPr>
              <w:pStyle w:val="TableParagraph"/>
              <w:widowControl w:val="false"/>
              <w:jc w:val="both"/>
              <w:rPr>
                <w:lang w:val="sk-SK"/>
              </w:rPr>
            </w:pPr>
            <w:r>
              <w:rPr>
                <w:lang w:val="sk-SK"/>
              </w:rPr>
            </w:r>
          </w:p>
        </w:tc>
      </w:tr>
      <w:tr>
        <w:trPr>
          <w:trHeight w:val="58" w:hRule="atLeast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>
            <w:pPr>
              <w:pStyle w:val="TableParagraph"/>
              <w:widowControl w:val="false"/>
              <w:jc w:val="both"/>
              <w:rPr>
                <w:lang w:val="sk-SK"/>
              </w:rPr>
            </w:pPr>
            <w:r>
              <w:rPr>
                <w:lang w:val="sk-SK"/>
              </w:rPr>
              <w:t>Zámerom  stretnutia</w:t>
            </w:r>
            <w:r>
              <w:rPr>
                <w:b/>
                <w:lang w:val="sk-SK"/>
              </w:rPr>
              <w:t xml:space="preserve">, </w:t>
            </w:r>
            <w:r>
              <w:rPr>
                <w:lang w:val="sk-SK"/>
              </w:rPr>
              <w:t>ktoré viedla koordinátorka činnosti klubu bolo  podeliť sa o skúsenosti pri používaní rôznych druhov úloh, ktoré sa využívajú pri skupinovom vyučovaní. Učitelia spoločne diskutovali o </w:t>
            </w:r>
            <w:r>
              <w:rPr>
                <w:lang w:val="sk-SK"/>
              </w:rPr>
              <w:t>teoretických východiskách rôznych typov metó</w:t>
            </w:r>
            <w:r>
              <w:rPr>
                <w:lang w:val="sk-SK"/>
              </w:rPr>
              <w:t>d</w:t>
            </w:r>
            <w:r>
              <w:rPr>
                <w:lang w:val="sk-SK"/>
              </w:rPr>
              <w:t xml:space="preserve">, ako aj o </w:t>
            </w:r>
            <w:r>
              <w:rPr>
                <w:lang w:val="sk-SK"/>
              </w:rPr>
              <w:t xml:space="preserve">konkrétnych cvičeniach a úlohách, ktoré zadávajú svojim žiakom.  </w:t>
            </w:r>
          </w:p>
          <w:p>
            <w:pPr>
              <w:pStyle w:val="TableParagraph"/>
              <w:widowControl w:val="false"/>
              <w:jc w:val="both"/>
              <w:rPr>
                <w:lang w:val="sk-SK"/>
              </w:rPr>
            </w:pPr>
            <w:r>
              <w:rPr>
                <w:lang w:val="sk-SK"/>
              </w:rPr>
              <w:t>Zamerali sme sa na t</w:t>
            </w:r>
            <w:r>
              <w:rPr>
                <w:lang w:val="sk-SK"/>
              </w:rPr>
              <w:t>ieto</w:t>
            </w:r>
            <w:r>
              <w:rPr>
                <w:lang w:val="sk-SK"/>
              </w:rPr>
              <w:t xml:space="preserve"> oblasti:</w:t>
            </w:r>
          </w:p>
          <w:p>
            <w:pPr>
              <w:pStyle w:val="TableParagraph"/>
              <w:widowControl w:val="false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Aktivity na rozvoj slovnej zásoby </w:t>
            </w:r>
          </w:p>
          <w:p>
            <w:pPr>
              <w:pStyle w:val="TableParagraph"/>
              <w:widowControl w:val="false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Aktivity na rozvoj počúvania </w:t>
            </w:r>
          </w:p>
          <w:p>
            <w:pPr>
              <w:pStyle w:val="TableParagraph"/>
              <w:widowControl w:val="false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Aktivity na rozvoj hovorenia </w:t>
            </w:r>
          </w:p>
          <w:p>
            <w:pPr>
              <w:pStyle w:val="TableParagraph"/>
              <w:widowControl w:val="false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Aktivity na rozvoj čítania </w:t>
            </w:r>
          </w:p>
          <w:p>
            <w:pPr>
              <w:pStyle w:val="TableParagraph"/>
              <w:widowControl w:val="false"/>
              <w:jc w:val="both"/>
              <w:rPr>
                <w:lang w:val="sk-SK"/>
              </w:rPr>
            </w:pPr>
            <w:r>
              <w:rPr>
                <w:lang w:val="sk-SK"/>
              </w:rPr>
              <w:t>Konkrétne aktivity sú prílohou písomného výstupu.</w:t>
            </w:r>
          </w:p>
          <w:p>
            <w:pPr>
              <w:pStyle w:val="TableParagraph"/>
              <w:widowControl w:val="false"/>
              <w:jc w:val="both"/>
              <w:rPr>
                <w:lang w:val="sk-SK"/>
              </w:rPr>
            </w:pPr>
            <w:r>
              <w:rPr>
                <w:lang w:val="sk-SK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Téma stretnutia</w:t>
            </w:r>
          </w:p>
          <w:p>
            <w:pPr>
              <w:pStyle w:val="TableParagraph"/>
              <w:widowControl w:val="false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Diskusia k aktivitám skupinového vyučovania.</w:t>
            </w:r>
          </w:p>
          <w:p>
            <w:pPr>
              <w:pStyle w:val="TableParagraph"/>
              <w:widowControl w:val="false"/>
              <w:jc w:val="both"/>
              <w:rPr>
                <w:b/>
                <w:b/>
                <w:i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</w:r>
          </w:p>
          <w:p>
            <w:pPr>
              <w:pStyle w:val="TableParagraph"/>
              <w:widowControl w:val="false"/>
              <w:jc w:val="both"/>
              <w:rPr>
                <w:b/>
                <w:b/>
                <w:i/>
                <w:i/>
                <w:lang w:val="sk-SK"/>
              </w:rPr>
            </w:pPr>
            <w:r>
              <w:rPr>
                <w:b/>
                <w:i/>
                <w:lang w:val="sk-SK"/>
              </w:rPr>
              <w:t xml:space="preserve">Definovanie problému </w:t>
            </w:r>
          </w:p>
          <w:p>
            <w:pPr>
              <w:pStyle w:val="TableParagraph"/>
              <w:widowControl w:val="false"/>
              <w:rPr/>
            </w:pPr>
            <w:r>
              <w:rPr>
                <w:b w:val="false"/>
                <w:bCs w:val="false"/>
                <w:i w:val="false"/>
                <w:iCs w:val="false"/>
                <w:lang w:val="sk-SK"/>
              </w:rPr>
              <w:t>Aktivity, hry, modelové situácie, hranie rolí, simulácie, diskusie, práce vo dvojiciach- využívané na hodinách anglického jazyka. Využívanie týchto i</w:t>
            </w:r>
            <w:r>
              <w:rPr/>
              <w:t>novatívn</w:t>
            </w:r>
            <w:r>
              <w:rPr/>
              <w:t>ych</w:t>
            </w:r>
            <w:r>
              <w:rPr/>
              <w:t xml:space="preserve"> a aktivizujúc</w:t>
            </w:r>
            <w:r>
              <w:rPr/>
              <w:t>ich</w:t>
            </w:r>
            <w:r>
              <w:rPr/>
              <w:t xml:space="preserve"> metód, </w:t>
            </w:r>
            <w:r>
              <w:rPr/>
              <w:t xml:space="preserve">ako aj </w:t>
            </w:r>
            <w:r>
              <w:rPr/>
              <w:t xml:space="preserve"> postup</w:t>
            </w:r>
            <w:r>
              <w:rPr/>
              <w:t>ov</w:t>
            </w:r>
            <w:r>
              <w:rPr/>
              <w:t xml:space="preserve">, ktoré umožňujú viesť vyučovanie tak, aby sa výchovnovzdelávacie ciele dosahovali na základe vlastnej učebnej práce žiakov, pričom sa zdôrazňuje myslenie a riešenie problémov. </w:t>
            </w:r>
            <w:r>
              <w:rPr/>
              <w:t xml:space="preserve">Sas </w:t>
            </w:r>
            <w:r>
              <w:rPr/>
              <w:t>Hra</w:t>
            </w:r>
            <w:r>
              <w:rPr/>
              <w:t>, ako jeden z prostriedkov vyučovaceho procesu,</w:t>
            </w:r>
            <w:r>
              <w:rPr/>
              <w:t xml:space="preserve"> prispieva k aktivizácii výučby i v cudzojazyčnom prostredí. Žiaci si osvojujú nové slová, gramatiku, ale aby ich mohli aktívne využívať, musia ich mať prakticky odskúšané a zažité, čo sa dosiahne jazykovými hrami. </w:t>
            </w:r>
            <w:r>
              <w:rPr/>
              <w:t>Precvičujú</w:t>
            </w:r>
            <w:r>
              <w:rPr/>
              <w:t xml:space="preserve"> </w:t>
            </w:r>
            <w:r>
              <w:rPr/>
              <w:t>si</w:t>
            </w:r>
            <w:r>
              <w:rPr/>
              <w:t xml:space="preserve"> učivo, ktoré sa naučili a týmto procesom sa ich pasívna slovná zásoba mení na aktívnu, </w:t>
            </w:r>
            <w:r>
              <w:rPr/>
              <w:t xml:space="preserve">čo </w:t>
            </w:r>
            <w:r>
              <w:rPr/>
              <w:t xml:space="preserve">vedie k zvyšovaniu sebaistoty v používaní jazyka. Jazykové hry je možné použiť v rôznych fázach vyučovacej hodiny </w:t>
            </w:r>
            <w:r>
              <w:rPr/>
              <w:t xml:space="preserve">a </w:t>
            </w:r>
            <w:r>
              <w:rPr/>
              <w:t xml:space="preserve">môžu slúžiť k navodeniu záujmu žiakov, motivácie, precvičeniu, opakovaniu či overeniu znalostí. </w:t>
            </w:r>
          </w:p>
          <w:p>
            <w:pPr>
              <w:pStyle w:val="TableParagraph"/>
              <w:widowControl w:val="false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</w:tr>
      <w:tr>
        <w:trPr>
          <w:trHeight w:val="216" w:hRule="atLeast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426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Závery a odporúčania: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26" w:leader="none"/>
              </w:tabs>
              <w:spacing w:lineRule="auto" w:line="240" w:before="0" w:after="0"/>
              <w:ind w:hanging="0"/>
              <w:contextualSpacing/>
              <w:rPr/>
            </w:pPr>
            <w:r>
              <w:rPr>
                <w:rFonts w:ascii="Times New Roman" w:hAnsi="Times New Roman"/>
                <w:b w:val="false"/>
                <w:bCs w:val="false"/>
              </w:rPr>
              <w:t>Výučba anglického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 jazyk</w:t>
            </w:r>
            <w:r>
              <w:rPr>
                <w:rFonts w:ascii="Times New Roman" w:hAnsi="Times New Roman"/>
                <w:b w:val="false"/>
                <w:bCs w:val="false"/>
              </w:rPr>
              <w:t>a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 je komplexným procesom 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a 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na jeho zvládnutie </w:t>
            </w:r>
            <w:r>
              <w:rPr>
                <w:rFonts w:ascii="Times New Roman" w:hAnsi="Times New Roman"/>
                <w:b w:val="false"/>
                <w:bCs w:val="false"/>
              </w:rPr>
              <w:t>je potrebné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 používa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ť 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rôzne prístupy a metódy zo strany 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učiteľa ako 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aj žiaka. </w:t>
            </w:r>
            <w:r>
              <w:rPr>
                <w:rFonts w:ascii="Times New Roman" w:hAnsi="Times New Roman"/>
                <w:b w:val="false"/>
                <w:bCs w:val="false"/>
              </w:rPr>
              <w:t>V r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ôzne výskumy 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sa </w:t>
            </w:r>
            <w:r>
              <w:rPr>
                <w:rFonts w:ascii="Times New Roman" w:hAnsi="Times New Roman"/>
                <w:b w:val="false"/>
                <w:bCs w:val="false"/>
              </w:rPr>
              <w:t>dokázal</w:t>
            </w:r>
            <w:r>
              <w:rPr>
                <w:rFonts w:ascii="Times New Roman" w:hAnsi="Times New Roman"/>
                <w:b w:val="false"/>
                <w:bCs w:val="false"/>
              </w:rPr>
              <w:t>o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, že žiaci môžu vyťažiť veľa z takého vyučovacieho procesu, v ktorom sú aktívne zapojení a majú možnosť rozhodovať o tom, čo sa na vyučovacích hodinách bude diať. Zlepšovanie spolupráce žiaka a učiteľa v prostredí, v ktorom je žiak vedený k samostatnosti, je indikátorom relatívne vysokej motivácie učiť sa cudzí jazyk. </w:t>
            </w:r>
            <w:r>
              <w:rPr>
                <w:rFonts w:ascii="Times New Roman" w:hAnsi="Times New Roman"/>
                <w:b w:val="false"/>
                <w:bCs w:val="false"/>
              </w:rPr>
              <w:t>Ž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iak preberá zodpovednosť za svoje učenie a podieľa sa aj na vlastnom hodnotení. </w:t>
            </w:r>
            <w:r>
              <w:rPr>
                <w:rFonts w:ascii="Times New Roman" w:hAnsi="Times New Roman"/>
                <w:b w:val="false"/>
                <w:bCs w:val="false"/>
              </w:rPr>
              <w:t>V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ýznam hry v </w:t>
            </w:r>
            <w:r>
              <w:rPr>
                <w:rFonts w:ascii="Times New Roman" w:hAnsi="Times New Roman"/>
                <w:b w:val="false"/>
                <w:bCs w:val="false"/>
              </w:rPr>
              <w:t>takomto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 vyučovacom procese, 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je nesmierne dôležitý a kladie 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dôraz na rozvíjanie komunikačných schopností, tvorivosti, kognitivizácie, logiky a pamäte u žiakov. </w:t>
            </w:r>
            <w:r>
              <w:rPr>
                <w:rFonts w:ascii="Times New Roman" w:hAnsi="Times New Roman"/>
                <w:b w:val="false"/>
                <w:bCs w:val="false"/>
              </w:rPr>
              <w:t>Po diskusii sme dospeli k záveru, že v</w:t>
            </w:r>
            <w:r>
              <w:rPr>
                <w:rFonts w:ascii="Times New Roman" w:hAnsi="Times New Roman"/>
              </w:rPr>
              <w:t xml:space="preserve">yužívanie didaktických hier a aktivít vo vyučovacom procese má množstvo výhod </w:t>
            </w:r>
            <w:r>
              <w:rPr>
                <w:rFonts w:ascii="Times New Roman" w:hAnsi="Times New Roman"/>
              </w:rPr>
              <w:t>ako napríklad:</w:t>
            </w:r>
            <w:r>
              <w:rPr>
                <w:rFonts w:ascii="Times New Roman" w:hAnsi="Times New Roman"/>
              </w:rPr>
              <w:t xml:space="preserve"> zatraktívnenie hodiny, rozvíjanie tvorivosti, komunikačných schopností a logiky u žiakov, zábavný spôsob fixácie slovnej zásoby či gramatiky. </w:t>
            </w:r>
            <w:r>
              <w:rPr>
                <w:rFonts w:ascii="Times New Roman" w:hAnsi="Times New Roman"/>
              </w:rPr>
              <w:t>Táto metóda taktiež</w:t>
            </w:r>
            <w:r>
              <w:rPr>
                <w:rFonts w:ascii="Times New Roman" w:hAnsi="Times New Roman"/>
              </w:rPr>
              <w:t xml:space="preserve"> šetr</w:t>
            </w:r>
            <w:r>
              <w:rPr>
                <w:rFonts w:ascii="Times New Roman" w:hAnsi="Times New Roman"/>
              </w:rPr>
              <w:t>í</w:t>
            </w:r>
            <w:r>
              <w:rPr>
                <w:rFonts w:ascii="Times New Roman" w:hAnsi="Times New Roman"/>
              </w:rPr>
              <w:t xml:space="preserve"> čas a energiu </w:t>
            </w:r>
            <w:r>
              <w:rPr>
                <w:rFonts w:ascii="Times New Roman" w:hAnsi="Times New Roman"/>
              </w:rPr>
              <w:t>učiteľovi</w:t>
            </w:r>
            <w:r>
              <w:rPr>
                <w:rFonts w:ascii="Times New Roman" w:hAnsi="Times New Roman"/>
              </w:rPr>
              <w:t xml:space="preserve">, keďže väčší dôraz sa kladie na aktivitu samotných </w:t>
            </w:r>
            <w:r>
              <w:rPr>
                <w:rFonts w:ascii="Times New Roman" w:hAnsi="Times New Roman"/>
              </w:rPr>
              <w:t>žiakov. Učiteľovi ďalej umožní</w:t>
            </w:r>
            <w:r>
              <w:rPr>
                <w:rFonts w:ascii="Times New Roman" w:hAnsi="Times New Roman"/>
              </w:rPr>
              <w:t xml:space="preserve"> pozorovať a hodnotiť nielen komunikačné schopnosti a vedomosti žiakov, ale aj ich organizačné a analytické schopnosti, kreativitu a schopnosť úspešne pracovať v tíme často povahovo odlišných ľudí. </w:t>
            </w:r>
            <w:r>
              <w:rPr>
                <w:rFonts w:ascii="Times New Roman" w:hAnsi="Times New Roman"/>
              </w:rPr>
              <w:t>Ďalšou metódou, o ktorej sme diskutovali bola práca vo dvojiciach, kde sme sa zhodli, na výhode, ktorou je fakt, že ž</w:t>
            </w:r>
            <w:r>
              <w:rPr>
                <w:rFonts w:ascii="Times New Roman" w:hAnsi="Times New Roman"/>
              </w:rPr>
              <w:t xml:space="preserve">iaci skôr vyjadria svoje myšlienky pred jedným spolužiakom ako pred celou triedou. </w:t>
            </w:r>
            <w:r>
              <w:rPr>
                <w:rFonts w:ascii="Times New Roman" w:hAnsi="Times New Roman"/>
              </w:rPr>
              <w:t>Tí s</w:t>
            </w:r>
            <w:r>
              <w:rPr>
                <w:rFonts w:ascii="Times New Roman" w:hAnsi="Times New Roman"/>
              </w:rPr>
              <w:t xml:space="preserve">ilnejší, </w:t>
            </w:r>
            <w:r>
              <w:rPr>
                <w:rFonts w:ascii="Times New Roman" w:hAnsi="Times New Roman"/>
              </w:rPr>
              <w:t>a lepší,</w:t>
            </w:r>
            <w:r>
              <w:rPr>
                <w:rFonts w:ascii="Times New Roman" w:hAnsi="Times New Roman"/>
              </w:rPr>
              <w:t xml:space="preserve">  môžu efektívne pomáhať svojím slabším spolužiakom. Všetci majú dostatok priestoru na sebarealizáciu. </w:t>
            </w:r>
            <w:r>
              <w:rPr>
                <w:rFonts w:ascii="Times New Roman" w:hAnsi="Times New Roman"/>
              </w:rPr>
              <w:t xml:space="preserve">Čo sa týka organizácie hodiny- </w:t>
            </w:r>
            <w:r>
              <w:rPr>
                <w:rFonts w:ascii="Times New Roman" w:hAnsi="Times New Roman"/>
              </w:rPr>
              <w:t xml:space="preserve">je to pomerne rýchly a jednoduchý spôsob rozdelenia žiakov. </w:t>
            </w:r>
            <w:r>
              <w:rPr>
                <w:rFonts w:ascii="Times New Roman" w:hAnsi="Times New Roman"/>
              </w:rPr>
              <w:t>Na druhej strane, vidíme aj nevýhody práce vo dvojiciach a to</w:t>
            </w:r>
            <w:r>
              <w:rPr>
                <w:rFonts w:ascii="Times New Roman" w:hAnsi="Times New Roman"/>
              </w:rPr>
              <w:t xml:space="preserve">, že niektorí žiaci nebudú chcieť pracovať s ostatnými, </w:t>
            </w:r>
            <w:r>
              <w:rPr>
                <w:rFonts w:ascii="Times New Roman" w:hAnsi="Times New Roman"/>
              </w:rPr>
              <w:t>ri</w:t>
            </w:r>
            <w:r>
              <w:rPr>
                <w:rFonts w:ascii="Times New Roman" w:hAnsi="Times New Roman"/>
              </w:rPr>
              <w:t xml:space="preserve">ziko, že žiaci budú namiesto cieľového jazyka používať materinský jazyk </w:t>
            </w:r>
            <w:r>
              <w:rPr>
                <w:rFonts w:ascii="Times New Roman" w:hAnsi="Times New Roman"/>
              </w:rPr>
              <w:t>a hlučnosť tejto metódy</w:t>
            </w:r>
            <w:r>
              <w:rPr>
                <w:rFonts w:ascii="Times New Roman" w:hAnsi="Times New Roman"/>
              </w:rPr>
              <w:t xml:space="preserve">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color w:val="212529"/>
                <w:shd w:fill="FFFFFF" w:val="clear"/>
              </w:rPr>
              <w:br/>
              <w:t> 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017"/>
        <w:gridCol w:w="5044"/>
      </w:tblGrid>
      <w:tr>
        <w:trPr/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426" w:leader="none"/>
              </w:tabs>
              <w:spacing w:lineRule="auto" w:line="240" w:before="0" w:after="0"/>
              <w:ind w:left="426" w:hanging="42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Anna Bobulská</w:t>
            </w:r>
          </w:p>
        </w:tc>
      </w:tr>
      <w:tr>
        <w:trPr/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426" w:leader="none"/>
              </w:tabs>
              <w:spacing w:lineRule="auto" w:line="240" w:before="0" w:after="0"/>
              <w:ind w:left="426" w:hanging="42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426" w:hanging="42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30. 06. 2022</w:t>
            </w:r>
          </w:p>
        </w:tc>
      </w:tr>
      <w:tr>
        <w:trPr/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426" w:leader="none"/>
              </w:tabs>
              <w:spacing w:lineRule="auto" w:line="240" w:before="0" w:after="0"/>
              <w:ind w:left="426" w:hanging="42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426" w:leader="none"/>
              </w:tabs>
              <w:spacing w:lineRule="auto" w:line="240" w:before="0" w:after="0"/>
              <w:ind w:left="426" w:hanging="42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</w:tr>
      <w:tr>
        <w:trPr/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426" w:leader="none"/>
              </w:tabs>
              <w:spacing w:lineRule="auto" w:line="240" w:before="0" w:after="0"/>
              <w:ind w:left="426" w:hanging="42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30. 06. 2022</w:t>
            </w:r>
          </w:p>
        </w:tc>
      </w:tr>
      <w:tr>
        <w:trPr/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426" w:leader="none"/>
              </w:tabs>
              <w:spacing w:lineRule="auto" w:line="240" w:before="0" w:after="0"/>
              <w:ind w:left="426" w:hanging="42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tabs>
          <w:tab w:val="clear" w:pos="708"/>
          <w:tab w:val="left" w:pos="1114" w:leader="none"/>
        </w:tabs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59" w:before="0" w:after="1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  <w:r>
        <w:br w:type="page"/>
      </w:r>
    </w:p>
    <w:p>
      <w:pPr>
        <w:pStyle w:val="Normal"/>
        <w:tabs>
          <w:tab w:val="clear" w:pos="708"/>
          <w:tab w:val="left" w:pos="1114" w:leader="none"/>
        </w:tabs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Príloha:</w:t>
      </w:r>
    </w:p>
    <w:p>
      <w:pPr>
        <w:pStyle w:val="Normal"/>
        <w:tabs>
          <w:tab w:val="clear" w:pos="708"/>
          <w:tab w:val="left" w:pos="1114" w:leader="none"/>
        </w:tabs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klubu anglického jazyka</w:t>
      </w:r>
    </w:p>
    <w:p>
      <w:pPr>
        <w:pStyle w:val="Normal"/>
        <w:tabs>
          <w:tab w:val="clear" w:pos="708"/>
          <w:tab w:val="left" w:pos="1114" w:leader="none"/>
        </w:tabs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Príloha správy o činnosti klubu anglického jazyka             </w:t>
      </w:r>
      <w:r>
        <w:rPr/>
        <w:drawing>
          <wp:inline distT="0" distB="0" distL="0" distR="0">
            <wp:extent cx="5760720" cy="808990"/>
            <wp:effectExtent l="0" t="0" r="0" b="0"/>
            <wp:docPr id="2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4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27"/>
        <w:gridCol w:w="5940"/>
      </w:tblGrid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Klub anglického jazyka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adpis1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sk-SK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k-SK"/>
        </w:rPr>
        <w:t>PREZENČNÁ LISTINA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Miesto konania stretnutia: online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Dátum konania stretnutia: 30. 06. 2022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15.00 h do 18.00 h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Zoznam účastníkov/členov klubu anglického jazyka: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44"/>
        <w:gridCol w:w="3934"/>
        <w:gridCol w:w="2430"/>
        <w:gridCol w:w="2303"/>
      </w:tblGrid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SŠ, org. zložka OA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Anna Bobulská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SŠ, org. zložka OA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Katarína Barlíková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SŠ, org. zložka OA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 prizvaných odborníkov/iných účastníkov, ktorí nie sú členmi klubu anglického jazyka a podpis/y: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01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10"/>
        <w:gridCol w:w="4679"/>
        <w:gridCol w:w="1728"/>
        <w:gridCol w:w="1983"/>
      </w:tblGrid>
      <w:tr>
        <w:trPr>
          <w:trHeight w:val="337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>
        <w:trPr>
          <w:trHeight w:val="337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37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55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eastAsia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390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al"/>
    <w:next w:val="Normal"/>
    <w:link w:val="Nadpis1Char"/>
    <w:uiPriority w:val="99"/>
    <w:qFormat/>
    <w:rsid w:val="0019390e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kern w:val="2"/>
      <w:sz w:val="32"/>
      <w:szCs w:val="32"/>
      <w:lang w:val="cs-CZ"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uiPriority w:val="99"/>
    <w:qFormat/>
    <w:rsid w:val="0019390e"/>
    <w:rPr>
      <w:rFonts w:ascii="Arial" w:hAnsi="Arial" w:eastAsia="Times New Roman" w:cs="Arial"/>
      <w:kern w:val="2"/>
      <w:sz w:val="32"/>
      <w:szCs w:val="32"/>
      <w:lang w:val="cs-CZ" w:eastAsia="cs-CZ"/>
    </w:rPr>
  </w:style>
  <w:style w:type="character" w:styleId="Internetovodkaz">
    <w:name w:val="Internetový odkaz"/>
    <w:basedOn w:val="DefaultParagraphFont"/>
    <w:uiPriority w:val="99"/>
    <w:unhideWhenUsed/>
    <w:rsid w:val="0019390e"/>
    <w:rPr>
      <w:color w:val="0563C1" w:themeColor="hyperlink"/>
      <w:u w:val="singl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TableParagraph" w:customStyle="1">
    <w:name w:val="Table Paragraph"/>
    <w:basedOn w:val="Normal"/>
    <w:uiPriority w:val="1"/>
    <w:qFormat/>
    <w:rsid w:val="0019390e"/>
    <w:pPr>
      <w:widowControl w:val="false"/>
      <w:spacing w:lineRule="auto" w:line="240" w:before="0" w:after="0"/>
    </w:pPr>
    <w:rPr>
      <w:rFonts w:ascii="Times New Roman" w:hAnsi="Times New Roman" w:eastAsia="Times New Roman"/>
      <w:lang w:val="en-US"/>
    </w:rPr>
  </w:style>
  <w:style w:type="paragraph" w:styleId="ListParagraph">
    <w:name w:val="List Paragraph"/>
    <w:basedOn w:val="Normal"/>
    <w:uiPriority w:val="99"/>
    <w:qFormat/>
    <w:rsid w:val="0019390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oasl.edupage.org/a/gramotnostou-k-trhu-prace" TargetMode="External"/><Relationship Id="rId4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LibreOffice/7.3.3.2$Windows_X86_64 LibreOffice_project/d1d0ea68f081ee2800a922cac8f79445e4603348</Application>
  <AppVersion>15.0000</AppVersion>
  <Pages>4</Pages>
  <Words>851</Words>
  <Characters>5167</Characters>
  <CharactersWithSpaces>5947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2022-06-23T10:53:00Z</dcterms:created>
  <dc:creator>Alexandra Reľovská</dc:creator>
  <dc:description/>
  <dc:language>sk-SK</dc:language>
  <cp:lastModifiedBy/>
  <cp:lastPrinted>2022-06-28T09:48:52Z</cp:lastPrinted>
  <dcterms:modified xsi:type="dcterms:W3CDTF">2022-06-28T09:49:12Z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